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Рабочая программа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«Введение в работу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b/>
          <w:sz w:val="24"/>
          <w:szCs w:val="24"/>
        </w:rPr>
        <w:t>-юриста»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Работа в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bCs/>
          <w:sz w:val="24"/>
          <w:szCs w:val="24"/>
        </w:rPr>
        <w:t xml:space="preserve"> компании довольно сильно отличается от работы в любой другой компании.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bCs/>
          <w:sz w:val="24"/>
          <w:szCs w:val="24"/>
        </w:rPr>
        <w:t xml:space="preserve"> юристу необходимо иметь не только общие знания по каждой отрасли, но также понимать техническую специфику, влияющую на договорные конструкции, а также хотя бы в общих чертах понимать специальные нормы смежных областей, таких как налоги, персональные данные, антимонопольное законодательство, специальное регулирование интернета и других телекоммуникаций. Поэтому каждый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bCs/>
          <w:sz w:val="24"/>
          <w:szCs w:val="24"/>
        </w:rPr>
        <w:t xml:space="preserve"> юрист должен быть с одной стороны достаточно универсален, а с другой стороны обладать довольно специфичным набором навыков, которые могут не пригодится при работе в других направлениях.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На это накладывается тот факт, что в регулировании этой области все время появляются новые нормы и проблемы, которые потом постоянно видоизменяются. А в современных вузах обычно не хватает либо специалистов, либо попросту часов для того, чтобы дать такую подготовку. Из-за этого многие вчерашние студенты совершенно не понимают с чем они столкнутся при устройстве на работу в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bCs/>
          <w:sz w:val="24"/>
          <w:szCs w:val="24"/>
        </w:rPr>
        <w:t xml:space="preserve"> компанию.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Данная программа направлена на создание у обучающихся понимания специфики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bCs/>
          <w:sz w:val="24"/>
          <w:szCs w:val="24"/>
        </w:rPr>
        <w:t xml:space="preserve"> отрасли, погружения их в типичные проблемы и вызовы, которые появляются у юристов после начала работы.  Конечно, короткий курс не сможет сделать настоящих профи в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bCs/>
          <w:sz w:val="24"/>
          <w:szCs w:val="24"/>
        </w:rPr>
        <w:t xml:space="preserve"> юриспруденции, с учетом того, что, по-хорошему, для глубокого понимания каждой темы, на нее нужно отвести отдельный курс длиной как минимум в семестр. Поэтому целью этого курса является в первую очередь создание понимания у слушателей что такое юриспруденция в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bCs/>
          <w:sz w:val="24"/>
          <w:szCs w:val="24"/>
        </w:rPr>
        <w:t xml:space="preserve"> компании, чем они будут заниматься и создание «костяка» знаний, первичной структуры того что представляет из себя эта область.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1 Введение в работу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b/>
          <w:sz w:val="24"/>
          <w:szCs w:val="24"/>
        </w:rPr>
        <w:t>-юриста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Компетенции, требующие в </w:t>
      </w:r>
      <w:r>
        <w:rPr>
          <w:rFonts w:cs="Times New Roman" w:ascii="Times New Roman" w:hAnsi="Times New Roman"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sz w:val="24"/>
          <w:szCs w:val="24"/>
        </w:rPr>
        <w:t xml:space="preserve">-компаниях. Функционирование и правовое регулирование интернета. Введение в техническую составляющую (Облачные сервисы, </w:t>
      </w:r>
      <w:r>
        <w:rPr>
          <w:rFonts w:cs="Times New Roman" w:ascii="Times New Roman" w:hAnsi="Times New Roman"/>
          <w:sz w:val="24"/>
          <w:szCs w:val="24"/>
          <w:lang w:val="en-US"/>
        </w:rPr>
        <w:t>API</w:t>
      </w:r>
      <w:r>
        <w:rPr>
          <w:rFonts w:cs="Times New Roman" w:ascii="Times New Roman" w:hAnsi="Times New Roman"/>
          <w:sz w:val="24"/>
          <w:szCs w:val="24"/>
        </w:rPr>
        <w:t xml:space="preserve"> и т.д.)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2 Электронная коммерция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Понятие электронной коммерции.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Электронная подпись.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shrink-wrap (оберточные лицензии), click-wrap (клик-лицензии) и browse-wrap (браузерные лицензии). Оферта – как основной сопособ заключения договора в электронной среде. Гражданско-правовой режим сайта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Электронная купля продажа. Договоры на разработку программного обеспечения. Дистрибуция программного обеспечения: купля-продажа экземпляра, лицензия, предоставление удаленного доступа.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Маркетплейсы и цифровые платформы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Юрисдикционные аспекты электронной коммерции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Тема 3 Трудовая обвязка работы в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  <w:lang w:val="en-US"/>
        </w:rPr>
        <w:t>IT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-компании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Электронный документооборот внутри компании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Корректная передача прав на результаты интеллектуальной деятельности (должностные инструкции, оформление заданий, прием и передача).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Дистанционная работа. Работа с внештатниками. Трудовой или гражданско правовой договор? НДФЛ\СМЗ\ИП резиденты\не резиденты.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4 Налоги в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b/>
          <w:sz w:val="24"/>
          <w:szCs w:val="24"/>
        </w:rPr>
        <w:t>-сфере и государственная поддержка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Налоговый маневр: льготы по налогу на прибыль и страховые взносы. Льгота по НДС. Реестр ПО минкомсвязи и реестр </w:t>
      </w:r>
      <w:r>
        <w:rPr>
          <w:rFonts w:cs="Times New Roman" w:ascii="Times New Roman" w:hAnsi="Times New Roman"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sz w:val="24"/>
          <w:szCs w:val="24"/>
        </w:rPr>
        <w:t xml:space="preserve"> компаний. Льготы резидента Сколково.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Льгота по НИОКР. Суровой подход российской судебной практики.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«Налог на гугл»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Основы международного налогового планирования в </w:t>
      </w:r>
      <w:r>
        <w:rPr>
          <w:rFonts w:cs="Times New Roman" w:ascii="Times New Roman" w:hAnsi="Times New Roman"/>
          <w:sz w:val="24"/>
          <w:szCs w:val="24"/>
          <w:lang w:val="en-US"/>
        </w:rPr>
        <w:t>IT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5 Персональные данные и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Privacy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персональных данных. Право на изображение. Краткая история возникновения законодательства о персональных данных. Цели защиты персональных данных. Сфера действия закона 152-ФЗ. Согласие на обработку персональных данных и случаи обработки без согласия. Реестр операторов персональных данных, уведомление Роскомнадзора об обработке. Требование к оператору по защите персональных данных. Внутренняя политика обработки персональных данных Компании.  Деперсонализация и уничтожение персональных данных. Специальные категории персональных данных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Введение в европейское право персональных данных (</w:t>
      </w:r>
      <w:r>
        <w:rPr>
          <w:rFonts w:cs="Times New Roman" w:ascii="Times New Roman" w:hAnsi="Times New Roman"/>
          <w:sz w:val="24"/>
          <w:szCs w:val="24"/>
          <w:lang w:val="en-US"/>
        </w:rPr>
        <w:t>GDPR</w:t>
      </w:r>
      <w:r>
        <w:rPr>
          <w:rFonts w:cs="Times New Roman" w:ascii="Times New Roman" w:hAnsi="Times New Roman"/>
          <w:sz w:val="24"/>
          <w:szCs w:val="24"/>
        </w:rPr>
        <w:t>). Контроллер и процессор.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Тема 6 Реклама и специальное регулирование интернета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Право в сфере рекламы, основные положения.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Американский Закон о защите конфиденциальности детей в Интернете (Children’s Online Privacy Protection Act), подход европейского союза и Российской федерации.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7 Комплаенс: Антикоррупционный и антимонопольный.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Необходимость комплаенса внутри компании. Основные практики и способы построения комплаенса. Введение в антимонопольное право в цифровой среде.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Тема 8 Корпоративное право и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  <w:lang w:val="en-US"/>
        </w:rPr>
        <w:t>IT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Выбор организационно-правовой формы: АО или ООО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Инвестиции в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IT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: венчурные сделки, корпоративный договор, конвертируемый займ, опцион на покупку долей\акций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9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Soft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skills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Коммуникация юриста в </w:t>
      </w:r>
      <w:r>
        <w:rPr>
          <w:rFonts w:cs="Times New Roman" w:ascii="Times New Roman" w:hAnsi="Times New Roman"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sz w:val="24"/>
          <w:szCs w:val="24"/>
        </w:rPr>
        <w:t xml:space="preserve"> компании: программисты, бухгалтерия, финансы и аудиторы, </w:t>
      </w:r>
      <w:r>
        <w:rPr>
          <w:rFonts w:cs="Times New Roman" w:ascii="Times New Roman" w:hAnsi="Times New Roman"/>
          <w:sz w:val="24"/>
          <w:szCs w:val="24"/>
          <w:lang w:val="en-US"/>
        </w:rPr>
        <w:t>hr</w:t>
      </w:r>
      <w:r>
        <w:rPr>
          <w:rFonts w:cs="Times New Roman" w:ascii="Times New Roman" w:hAnsi="Times New Roman"/>
          <w:sz w:val="24"/>
          <w:szCs w:val="24"/>
        </w:rPr>
        <w:t>-служба.  Определение границы полномочий и обязанностей юр. отдела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Модели выстраивания внутренней юридической работы в компании. Когда привлекать аутсорс?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в юридической команде.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10 Правовое регулирование финтеха и лигалтеха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Введение в финтех и лигалтех. Электронные платежи в цифровой среде.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Блокчейн, криптовалюты, </w:t>
      </w:r>
      <w:r>
        <w:rPr>
          <w:rFonts w:cs="Times New Roman" w:ascii="Times New Roman" w:hAnsi="Times New Roman"/>
          <w:sz w:val="24"/>
          <w:szCs w:val="24"/>
          <w:lang w:val="en-US"/>
        </w:rPr>
        <w:t>NFT</w:t>
      </w:r>
      <w:r>
        <w:rPr>
          <w:rFonts w:cs="Times New Roman" w:ascii="Times New Roman" w:hAnsi="Times New Roman"/>
          <w:sz w:val="24"/>
          <w:szCs w:val="24"/>
        </w:rPr>
        <w:t>\</w:t>
      </w:r>
      <w:r>
        <w:rPr>
          <w:rFonts w:cs="Times New Roman" w:ascii="Times New Roman" w:hAnsi="Times New Roman"/>
          <w:sz w:val="24"/>
          <w:szCs w:val="24"/>
          <w:lang w:val="en-US"/>
        </w:rPr>
        <w:t>ICO</w:t>
      </w:r>
      <w:r>
        <w:rPr>
          <w:rFonts w:cs="Times New Roman" w:ascii="Times New Roman" w:hAnsi="Times New Roman"/>
          <w:sz w:val="24"/>
          <w:szCs w:val="24"/>
        </w:rPr>
        <w:t>, Интернет вещей, Смарт-контракты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Литература: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Основная литература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Савельев А. - Электронная коммерция в России и за рубежом. Правовое регулирование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Савельев А. Научно-практический постатейный комментарий к Федеральному закону "О персональных данных"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Сорокина, Д. Гриц. НАВЫКИ СОВРЕМЕННОГО ЮРИСТА: soft skills, повышающие эффективность и качество жизни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Пузыревский, С. А. Конкурентное право : учебник / Д. А. Гаврилов, С. А. Пузыревский, Д. И. Серегин ; отв. ред. С. А. Пузыревский. — Москва : Норма : ИНФРА-М, 2019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Е.Ю. Борзило. Антимонопольные риски предпринимательской деятельности: научно-практическое руководство. – М.: Статут, 2014. – 335 с.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Примаков Д.Я. Специальные виды компаленса: антикоррупционный, банковский, санкционный и розыск активов (форензик) 2019 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Асосков А.В. Коллизионное регулирование договорных обязательств. М.: Инфотропик Медиа, 2012. 640 с.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Винницкий Д. В. «Международное налоговое право: проблемы теории и практики», М., Статут, 2017.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А.А. Кузнецов . Пределы автономии воли в корпоративном праве. Краткий очерк. М.: Статут , 2017-159 с.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Дополнительная литература: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Рожкова М.А. Право в сфере Интернета: сборник статей / М.З. Али, Д.В. Афанасьев, В.А. Белов и др.; рук. авт. кол. и отв. ред. М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Рожкова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.: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Статут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, 2018. 528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Peters B. How not to network a nation: The uneasy history of the soviet internet /B. Peters. – Cambridge : MIT Press, 2016. – 312 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Driscoll K. Minitel: Welcome to the Internet / K. Driscoll, J. Mailland. – [S. l.] : MIT Press, 2017. – 240 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Turner F. From counterculture to cyberculture: Stewart Brand, the Whole Earth Network, and the rise of digital utopianism. – Chicago : University of Chicago Press, 2006. – 327 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hyperlink r:id="rId2"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Hafner K. Where Wizards Stay Up Late: The Origins of the Internet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 / K. Hafner, M. Lyon. – New York : Simon and Schuster, 1998.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Робачевский А. Интернет изнутри: Экосистема глобальной Сети – М.: Альпина Паблишер, 2015. – 223 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Управление интернетом. Международно-правовой механизм: монография / М.Б. Касенова// СПб.: Центр гуманитарных инициатив, 2012. – 230 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Основы трансграничного управления интернетом / М.Б. Касенова// Кибербезопасность и управление интернетом: Документы и материалы для российских регуляторов и экспертов/ Отв. ред. М.Б. Касенова; сост. О.В. Демидов, М.Б. Касенова – М.: Статут, 2014;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E-commerce и взаимосвязанные области (правовое регулирование): сборник статей / А.А. Богустов, О.Н. Горохова, Д.А. Доротенко и др.; рук. авт. кол. и отв. ред. М.А. Рожкова. М.: Статут, 2019. 448 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Асосков А.В. Основы коллизионного права / М.: Инфотропик Медиа, 2012.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Витко В.С. Правовая природа договоров о создании произведений науки, литературы и искусства. М.: Статут, 2019. 240 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Карапетов А.Г., Савельев А.И. Свобода договора и ее пределы. Т. 1: Теоретические, исторические и политико-правовые основания принципа свободы договора и его ограничений. – М.: Статут, 2012. Т. 2: Пределы свободы определения условий договора в зарубежном и российском праве. – М.: Статут, 2012.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Савельев А.И. Лицензирование программного обеспечения в России: законодательство и практика. / "Инфотропик Медиа", 2013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Таран К.К. Правовая характеристика договора, регламентирующего отношения по использованию облачного хранилища информации в России и США // Право и экономика. 2018. N 12. С. 45 - 52.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Терентьева Л.В. Критерий направленности деятельности профессиональной стороны на территорию страны места жительства потребителя как условие специального коллизионного регулирования потребительских отношений // Актуальные проблемы российского права. 2020. N 4. С. 142 - 154.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Янковский Р. М. Правовой режим исходного кода (исходного текста) программ для ЭВМ // В кн.: Gaudeamus igitur!: сб. статей к юбилею А.А. Иванова / Сост.: В. А. Багаев, К. А. Новиков; отв. ред.: В. А. Багаев, К. А. Новиков. М. : Издательская группа "ЗАКОН", 2020. Гл. 13. С. 408-427.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Балдынова А. Анализ судебной практики по делам о служебных произведениях // Трудовое право. 2019. N 12. С. 65 - 72.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Витко В.С. Правовая природа договоров о создании произведений науки, литературы и искусства. М.: Статут, 2019. 240 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Витко В.С. Правовой режим произведения, созданного совместным творческим трудом работника и автора, не связанного трудовыми отношениями с работодателем // ИС. Авторское право и смежные права. 2020. N 11. С. 26 - 29.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Гулько Е. Риски признания гражданско-правовых договоров трудовыми договорами // Трудовое право. 2016. N 10. С. 5 - 17.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Иванов Н.В. Право на вознаграждение за служебное произведение и служебное исполнение // Закон. 2017. N 1. С. 147 - 155.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Калятин В.О. Проблема закрепления прав на результаты коллективной творческой деятельности в рамках служебных отношений // Закон. 2020. N 9. С. 173 - 184.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Сабиров Р. Переквалификация гражданско-правового договора с индивидуальными предпринимателями в трудовой договор // Трудовое право. 2019. N 10. С. 69 - 76.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Чакински А. Как Rambler за поруганные авторские права боролся. Кто прав? // Административное право. 2020. N 1. С. 45 - 50.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Письмо ФНС т 10.03.2021 № БВ-4-7/3060@ О практике применения статьи 54.1 Налогового кодекса Российской Федерации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№ 309-ЭС20-23981 по делу № А76-46624/2019 по спору о привлечении организации к налоговой ответственности за использование «технических» компаний при самостоятельной доставке продукции до точек продажи, в рамках которого высшая инстанция впервые в своей практике рассмотрела вопрос о применении «налоговой реконструкции»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Акимова В.Г., Литвинова К.Ю., Штукмастер И.Б., Кузнецов А.Б. Пределы вмешательства в налоговое планирование при налоговом администрировании // Закон, май 2019, № 5.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Аракелов С.А. Антиуклонительные нормы в международной практике. Новые законодательные инструменты по борьбе против уклонения от уплаты налогов в России // Закон, май 2018, № 5. 7.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Винницкий Д. В. Добросовестность, обоснованность выгоды, пределы осуществления прав, или как российское налоговое право оказалось на передовых рубежах борьбы со злом, гнездящимся в налогоплательщиках // Закон, 2018, № 11.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Винницкий Д. В. Принцип добросовестности и злоупотребление правом в сфере налогообложения // Право и экономика, 2003, № 1.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Винницкий Д. В. Проблемы разграничения налогового планирования и действий, направленных на уклонение от налогообложения // Журнал российского права, 2006, 11.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Громов В.В. Льготные и специальные налоговые режимы: проблема правового разграничения // Налоги. 2020. N 3. С. 3 - 7.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Завьялова Т. В. Налоговая выгода — понятие и практика ее применения арбитражными судами // Арбитражные споры, 2010, № 3.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Гидирим В.А. Основы международного корпоративного налогообложения // М.: Человек Слова, 2016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Иванов А. А. Понятие «имущественные отношения и проблемы налогового права» // Вестник ВАС РФ, 2009, № 1.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Лысенко Е. А. Концепция налоговой выгоды: о кодификации правовых доктрин //Налоговед, 2015, № 8-9.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Митин Д.А. Налогообложение электронной коммерции: российский и европейский опыт // Налоги. 2018. N 6. С. 36 - 39.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Налоговое право. Общая часть: Учебник и практикум для академического бакалавриата / Под ред. И.И. Кучерова. М.: Юрайт, 2014. 760 с.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Налоговое право: Учебник / Под ред. С .Г. Пепеляева. - М.: Юрист, 2005.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Овсянников С. В. Формы и пределы взаимодействия гражданского и налогового права // Вестник ВАС РФ, 2009, № 1.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Разгильдеев А.В. Проблемы квалификации при применении льгот, предусмотренных международными налоговыми соглашениями // Вестник экономического правосудия, ноябрь 2018, № 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Цветкова Е.А. Налогообложение инновационных компаний в России // Налоги. 2020. N 5. С. 23 - 27.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5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Дмитрик Н.А. История, смысл и перспективы института персональных данных // Вестник гражданского права. 2020. N 3. С. 43 - 82.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Дмитрик Н.А. О правовой природе согласия на обработку персональных данных // Законодательство. 2018. N 5. С. 41 - 47.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Защита данных: научно-практический комментарий к судебной практике / Э.В. Алимов, Д.Р. Алимова, Х.И. Гаджиев и др.; отв. ред. В.В. Лазарев, Х.И. Гаджиев. М.: ИЗиСП, КОНТРАКТ, 2020. 176 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E-commerce и взаимосвязанные области (правовое регулирование): сборник статей / А.А. Богустов, О.Н. Горохова, Д.А. Доротенко и др.; рук. авт. кол. и отв. ред. М.А. Рожкова. М.: Статут, 2019. 448 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Нам К.В. Особенности развития правового регулирования оборота и защиты персональных данных // Вестник гражданского права. 2020. N 5. С. 73 - 89.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Матюхина Е.Н. Российское и германское законодательство о персональных данных: сравнительный анализ подходов и практики применения // Lex russica. 2019. N 4. С. 170 - 178.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Савельев А.И. Гражданско-правовые аспекты регулирования оборота данных в условиях попыток формирования цифровой экономики // Вестник гражданского права. 2020. N 1. С. 60 - 92.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Калятин В.О. Персональные данные в Интернете</w:t>
      </w:r>
      <w:r>
        <w:rPr>
          <w:rFonts w:eastAsia="Times New Roman" w:cs="Times New Roman" w:ascii="Verdana" w:hAnsi="Verdana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// "Журнал российского права", 2002, N 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6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Бадалов Д.С., Василенкова И.И., Карташов Н.Н., Котов С.Ф., Никитина Т.Е. Постатейный комментарий к Федеральному закону «О рекламе». М., 2012.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Гаврилов Э.П. Комментарий к главам 69, 70, 71, 76 части четвертой Гражданского кодекса РФ. М.: Экзамен, 2008.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Григорьев Д.А. Законы рекламы. Право для маркетинга. Правовые основы рекламы в России и СНГ //Инфотропик. 2017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 Вестник ФАС Московского округа. № 3, 2015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 Григорьев Д.А Неэтичная реклама //Инфотропик. 2018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 Защита деловой репутации по-новому // Арбитражная практика. № 12, 2013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-- Использование иностранных слов в рекламе // Реклама. Теория и практика. — 2015. — No1. — С.56–60. URL: </w:t>
      </w:r>
      <w:hyperlink r:id="rId3">
        <w:r>
          <w:rPr/>
          <w:t>https://grebennikon.ru/article-ceki.html</w:t>
        </w:r>
      </w:hyperlink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 Использование интеллектуальной собственности в рекламе // Интеллектуальная собственность. Авторское право и смежные права. № 3, 2016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 Использование чужих товарных знаков в рекламе // Арбитражная практика. № 11, 2013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 Недобросовестная реклама // Конкуренция и право. № 6, 2015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 Недостоверная реклама // Конкуренция и право. № 1, 2016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 Оскорбительные образы в рекламе // Рекламодатель. № 4, 2015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--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Оскорбительные образы в рекламе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//Рекламодатель . 2014. №10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 Понятие рекламы в российском законодательстве // Вестник Арбитражного суда Московского округа. 2015. N 3. С. 60 - 66.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 П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онятия «недобросовестная реклама» и «недобросовестная конкуренция» в российском законодательстве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//Конкуренция и право . 2016. №4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>
          <w:rPr>
            <w:rFonts w:cs="Times New Roman" w:ascii="Times New Roman" w:hAnsi="Times New Roman"/>
            <w:sz w:val="24"/>
            <w:szCs w:val="24"/>
          </w:rPr>
          <w:t>-- Сравнительная реклама в российском законодательстве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//Конкуренция и право. 2015. №5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Савельев А.И. Направления регулирования Больших данных и защита неприкосновенности частной жизни в новых экономических реалиях // Закон. 2018. N 5. С. 122 - 144.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7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Черепанова: Комплаенс-программа организации. Практическое руководство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Овчарова Е. Налоговый комплаенс в Россйской Федерации, Соединенном Королевстве Великобритании и Северной Ирландии и Соединенных Штатах Америки. Принуждение и стимулирование правомерного поведения налогоплательщиков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Грундел Л.П. Комплаенс налоговых инструментов деофшоризации в условиях международной налоговой конкуренции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Posner, R.A. Antitrust law/R.A. Posner. - Ch&amp; L: The university of Chicago press, 2001.-316 </w:t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Bael, I. van Competition Law of the European Community (5th edition)/ I. van Bael, J.-F. Bellis - Kluwer Law International 2010, - 1615 p.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Конкурентное право России. Учебник/ Под общ. ред. Артемьева И.Ю. - М.: Изд. дом ВШЭ, 2014. – 391 с. 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Правовое регулирование конкуренции и монополии в Российской Федерации. Курс лекций. Писенко К.А., Цинделиани И.А., Бадмаев Б.Г. - М.: Статут, 2010.-414 c.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>Тема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Feld B. Venture Deals: Be Smarter Than Your Lawyer and Venture Capitalist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Глухов Е.В, Сделки купли-продажи акций и долей участия в уставных капиталах хозяйственных обществ: подготовка и реализация [Электронное издание]. – Москва : М-Логос, 2019. – 1208 с.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Глухов Е.В.  Корпоративный договор: подготовка и согласование при создании совместного предприятия [Электронное издание]. – М.: М-Логос, 2017. – 672 с.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Гравер Л. – Основные условия венчурного финансирования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Кузнецов А.А. Исключение участника из общества с ограниченной ответственностью. – М.: Статут, 2014, С. 31-110;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Кузнецов А.А. Новак Д.В. Вопросы Корпоративного Права в Постановлении Пленума ВC РФ От 23.06.2015 № 25 // Вестник экономического правосудия Российской Федерации (Review of Commercial Justice). 2015. № 12. C. 26-60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Кузнецов А.А. Оспаривание крупных сделок и сделок с заинтересованностью: общие замечания // Вестн. Высш. Арбитражного Суда Российской Федерации. – 2014. – № 2. – С. 4-28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Степанов Д.И. Дедлоки в непубличных корпорациях: возможные варианты развития законодательства и судебной практики // Вестник экономического правосудия РФ 2015 № 9 С. 60- 113, № 10 С. 62-115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Степанов Д.И., Михальчук Ю.С. Ответственность директора перед корпорацией за причиненные ей убытки в судебной практике. М., 2018.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Степанов Д.И. Новые положения гражданского кодекса о юридических лицах // Закон. - М.: Закон, 2014, № 7. - С. 31-55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Янковский Р. М., Ендуткин С. Н. Корпоративное управление ближайшего будущего: децентрализованные компании, управляемые алгоритмами? // В кн.: Национальный доклад по корпоративному управлению. Выпуск XII. Национальный совет по корпоративному управлению, 2020. Гл. 7. С. 206-235.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Янковский Р.М. Конвертируемый заем: договорная модель и проблемы регулирования // Закон 2017 № 11 С 184 – 192.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Янковский Р.М. Правовое регулирование венчурного инвестирования дисс. Канд. Юр. Наук  12.00.03 / Янковский Роман Михайлович ; Моск. гос. ун-т им. М. 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Ильяхов М. Новые правила деловой переписки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Ильяхов М. Пиши, сокращай: Как создавать сильные тексты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Ильяхов М. Ясно, понятно: Как доносить мысли и убеждать людей с помощью слов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Лебедев А. Автоматизация юридической работы: опыт Юнилевер // Legal Insight. - 2017. - № 9. - С. 5 - 9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Лихопуд С., Тимофеев Д., Переверзев С. Опыт внедрения систем управления юридической работой // Legal Insight. 2016. №1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Родионов Н., Журавлева В. Как мы создали лучший юридический департамент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Цшайге Х. Автоматизация управления юридическим департаментом // Legal Insight. </w:t>
      </w:r>
      <w:r>
        <w:rPr>
          <w:rFonts w:cs="Times New Roman" w:ascii="Times New Roman" w:hAnsi="Times New Roman"/>
          <w:sz w:val="24"/>
          <w:szCs w:val="24"/>
          <w:lang w:val="en-US"/>
        </w:rPr>
        <w:t>2015. №10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>Тема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10: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Amstad M, Huang B, Morgan P, Shirai  S,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Fintech Law in a Nutshell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Arslanian H, Fischer F The Future of Finance: The Impact of FinTech, AI, and Crypto on Financial Services 1st ed. 2019 Edition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Goldfinch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 xml:space="preserve"> P, A Global Guide to FinTech and Future Payment Trends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 xml:space="preserve">Madir J, FinTech: Law and Regulation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Rubin A. Fintech Founders: Inspiring Tales from the Entrepreneurs that are Changing Finance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Tanda A. Schena C M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 xml:space="preserve"> FinTech, BigTech and Banks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Thomas R. What The Heck Is LegalTech?: Doing Agile And Being Agile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Бараберис Я. Финтех: Путеводитель по новейшим финансовым технологиям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Блокчейн на пике хайпа: правовые риски и возможности /А. Ю. Иванов (рук. авт. колл.), М. Башкатов, Е. В. Галкова и др.; Нац. исслед. ун-т «Высшая школа экономики», Ин-т права и развития ВШЭ - Сколково. М.: Изд. Дом Высшей школы экономики, 2017. - 237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Браво-Хуртадо П. Автоматизация отправления правосудия: обращение к трем ошибочным суждениям об искусственном интеллекте /перевод. С испан. яз. Р. Ф. Закиров. //Вестник гражданского процесса. -2018. - № 1. - С. 180 – 199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Вашкевич А.М. Смарт-контракты: что, зачем и как? – М.: Симплоер, 2018 – 89 с.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Головчанский О. Роботы-юристы. Что поможет человеку остаться в профессии // Корпоративный юрист. - 2017. - № 12. - С. 54 - 58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Егоров К.В. Защита прав сторон договора, оформленного посредством смарт-контракта: возможности арбитрирования // Вестник гражданского процесса. -2018. - № 1. - С. 102 - 109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Зайцев А. Смарт-контракты. Понятие и перспективы использования // Арбитражная практика. - 2018. - № 4. - С. 28 – 35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Ибрагимов Р.С., Чиркова Т.В. Эволюция юридической профессии в условиях цифровизации мира //Закон. 2018. №5. С. – 72-79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Ильин С. В., Янковский Р. М. Судебная практика по делам с использованием криптоактивов // Закон. 2019. № 4. С. 120-129.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Конюшкевич В. Реальный блокчейн. Как договоры превращаются в алгоритмы // Корпоративный юрист. 2017. №5. С. 30-35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Рожкова М.А. Разрешение вопроса о легальности парсинга (скрапинга) в деле вконтакте v. double data / "Комментарий практики рассмотрения экономических споров (судебно-арбитражной практики)" (выпуск 27) (отв. ред. В.М. Жуйков) ("ИЗиСП", "КОНТРАКТ", 2020)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Никифоров А., Полищук А. Размышления о будущем юридической профессии. Рецензиянакнигу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«The Future of Professions. How Technology will Transform the Work of Human Experts» </w:t>
      </w:r>
      <w:r>
        <w:rPr>
          <w:rFonts w:cs="Times New Roman" w:ascii="Times New Roman" w:hAnsi="Times New Roman"/>
          <w:sz w:val="24"/>
          <w:szCs w:val="24"/>
        </w:rPr>
        <w:t>Ричарда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Даниела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Сасскайндов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// Legal Insight. </w:t>
      </w:r>
      <w:r>
        <w:rPr>
          <w:rFonts w:cs="Times New Roman" w:ascii="Times New Roman" w:hAnsi="Times New Roman"/>
          <w:sz w:val="24"/>
          <w:szCs w:val="24"/>
        </w:rPr>
        <w:t xml:space="preserve">2016. №3. С. 56 – 59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Никифорова Т.С. Оставят ли роботы юристов без работы // Закон. -2017. - № 11. - С. 110 – 123.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Новоселова Л. А. «Токенизация» объектов гражданского права // Хозяйство и право. - 2017. - № 12. - С. 29-44.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Новоселова Л. А. О правовой природе биткойна //Хозяйство и право. - 2017. - № 9. - С. 3 -15.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Огородов Д.В. Криптография: гражданско-правовые аспекты // Законодательство. –2006. – № 9. – С. 44-51.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Огородов Д.В. Осторожно: лунная недвижимость! (практический аспект взаимодействия международного космического права с гражданским правом России) // СПС «КонсультантПлюс», 2006. Электронная публикация.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Савельев А.И. Договорное право 2.0: «умные» контракты как начало конца классического договорного права // Вестник гражданского права. 2016. Т. 16. №3. С. 32-60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Савельев А.И. Некоторые правовые аспекты использования смартконтрактов и блокчейн-технологий по российскому праву // Закон. 2017. №5. С. 94-117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Саскинд Р. Конкурент, который вас уничтожит, не будет похож на вас. Интервью // LegalInsight. 2016. №4. С. 8 – 18.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Сотскова Д. Moscow Legal Tech 2017: настоящее и будущее технологий в юридическом бизнесе // Legal Insight. - 2017. - № 3. - С. 4 – 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Трифонов А.С. Робот-юрист - это не робот в обычном понимании, а программное решение / Корпоративный юрист. - 2017. - № 3. - С. 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Цшайге Х. Влияние LegalTech на юридический бизнес // Legal Insight. 2016. №2. С. 54-57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Цшайге Х. Как выбрать провайдера автоматизации юридических процессов // Legal Insight. -2016. - № 10. - С. 10 - 13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Цшайге Х. Карьерные возможности для юриста будущего // Legal Insight. -2017. - № 9. - С. 3 - 4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Цшайге Х. Технологии вас заменят // Legal Insight. 2016. №3. С. 60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Чернышев А. Автоматизация претензионно-исковой работы // Корпоративный юрист. -2016. - № 4. - С. 34 – 35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Янковский Р. М. Криптовалюты в российском праве: суррогаты, «иное имущество» и цифровые деньги // Право. Журнал Высшей школы экономики. 2020. № 4. С. 43-77.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Янковский Р. М. Проблематика правового регулирования децентрализованных систем на примере блокчейна и смарт-контрактов // Государственная служба. 2018. № 2. С. 64-68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Дополнительные источники: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https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://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iidf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/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startups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/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documents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сборник документов для стартапов по российскому праву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https://t.me/Ilovedocs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канал Павла Мищенко о юридическом дизайне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9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https://t.me/DigitalRightsCenter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- канал о цифровом праве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https://t.me/mediatorlaw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канал Александра Григорьева о рекламе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https://t.me/digital_law_trends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- новостной канал о цифровом праве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https://t.me/Lgltech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канал о лигал техе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https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://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t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me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/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fintech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_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review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канал о фин техе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https://t.me/IPWbyCLAIMS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канал о товарных знаках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https://zakon.ru/dagemg/blogs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блог о рекламе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https://t.me/legal_jobs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17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https://t.me/ipitlegal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каналы для поиска работы в </w:t>
      </w:r>
      <w:r>
        <w:rPr>
          <w:rFonts w:cs="Times New Roman" w:ascii="Times New Roman" w:hAnsi="Times New Roman"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sz w:val="24"/>
          <w:szCs w:val="24"/>
        </w:rPr>
        <w:t xml:space="preserve"> сфере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https://t.me/musicmainthing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канал о современной музыкальной индустрии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https://zakon.ru/budylin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блог с интересными юридическими кейсами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hyperlink r:id="rId20"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https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://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vk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com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/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tax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_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edu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_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club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лучший блог по налоговому праву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496919"/>
    <w:rPr>
      <w:i/>
      <w:iCs/>
    </w:rPr>
  </w:style>
  <w:style w:type="character" w:styleId="Strong">
    <w:name w:val="Strong"/>
    <w:basedOn w:val="DefaultParagraphFont"/>
    <w:uiPriority w:val="22"/>
    <w:qFormat/>
    <w:rsid w:val="00be1760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a916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0db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517b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noskop.org/images/e/ee/Hafner_Katie_Lyon_Matthew_Where_Wizards_Stay_Up_Late_The_Origins_Of_The_Internet.pdf" TargetMode="External"/><Relationship Id="rId3" Type="http://schemas.openxmlformats.org/officeDocument/2006/relationships/hyperlink" Target="https://grebennikon.ru/article-ceki.html" TargetMode="External"/><Relationship Id="rId4" Type="http://schemas.openxmlformats.org/officeDocument/2006/relationships/hyperlink" Target="https://zakon.ru/publication/oskorbitelnye_obrazy_v_reklame" TargetMode="External"/><Relationship Id="rId5" Type="http://schemas.openxmlformats.org/officeDocument/2006/relationships/hyperlink" Target="https://zakon.ru/publication/ponyatiya_nedobrosovestnaya_reklama_i_nedobrosovestnaya_konkurenciya_v_rossijskom_zakonodatelstve" TargetMode="External"/><Relationship Id="rId6" Type="http://schemas.openxmlformats.org/officeDocument/2006/relationships/hyperlink" Target="https://zakon.ru/publication/sravnitelnaya_reklama_v_rossijskom_zakonodatelstve" TargetMode="External"/><Relationship Id="rId7" Type="http://schemas.openxmlformats.org/officeDocument/2006/relationships/hyperlink" Target="https://www.iidf.ru/startups/documents/" TargetMode="External"/><Relationship Id="rId8" Type="http://schemas.openxmlformats.org/officeDocument/2006/relationships/hyperlink" Target="https://t.me/Ilovedocs" TargetMode="External"/><Relationship Id="rId9" Type="http://schemas.openxmlformats.org/officeDocument/2006/relationships/hyperlink" Target="https://t.me/DigitalRightsCenter" TargetMode="External"/><Relationship Id="rId10" Type="http://schemas.openxmlformats.org/officeDocument/2006/relationships/hyperlink" Target="https://t.me/mediatorlaw" TargetMode="External"/><Relationship Id="rId11" Type="http://schemas.openxmlformats.org/officeDocument/2006/relationships/hyperlink" Target="https://t.me/digital_law_trends" TargetMode="External"/><Relationship Id="rId12" Type="http://schemas.openxmlformats.org/officeDocument/2006/relationships/hyperlink" Target="https://t.me/Lgltech" TargetMode="External"/><Relationship Id="rId13" Type="http://schemas.openxmlformats.org/officeDocument/2006/relationships/hyperlink" Target="https://t.me/fintech_review" TargetMode="External"/><Relationship Id="rId14" Type="http://schemas.openxmlformats.org/officeDocument/2006/relationships/hyperlink" Target="https://t.me/IPWbyCLAIMS" TargetMode="External"/><Relationship Id="rId15" Type="http://schemas.openxmlformats.org/officeDocument/2006/relationships/hyperlink" Target="https://zakon.ru/dagemg/blogs" TargetMode="External"/><Relationship Id="rId16" Type="http://schemas.openxmlformats.org/officeDocument/2006/relationships/hyperlink" Target="https://t.me/legal_jobs" TargetMode="External"/><Relationship Id="rId17" Type="http://schemas.openxmlformats.org/officeDocument/2006/relationships/hyperlink" Target="https://t.me/ipitlegal" TargetMode="External"/><Relationship Id="rId18" Type="http://schemas.openxmlformats.org/officeDocument/2006/relationships/hyperlink" Target="https://t.me/musicmainthing" TargetMode="External"/><Relationship Id="rId19" Type="http://schemas.openxmlformats.org/officeDocument/2006/relationships/hyperlink" Target="https://zakon.ru/budylin" TargetMode="External"/><Relationship Id="rId20" Type="http://schemas.openxmlformats.org/officeDocument/2006/relationships/hyperlink" Target="https://vk.com/tax_edu_club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F8E9-C9CA-4B2D-9F10-6410AC4F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Collabora_Office/22.05.8.4$Linux_X86_64 LibreOffice_project/6b684881862021847234b41947d7276b3f38edd6</Application>
  <AppVersion>15.0000</AppVersion>
  <Pages>10</Pages>
  <Words>3377</Words>
  <Characters>20564</Characters>
  <CharactersWithSpaces>23818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2021-07-13T13:08:00Z</dcterms:created>
  <dc:creator>Артем Никифоров</dc:creator>
  <dc:description/>
  <dc:language>en-US</dc:language>
  <cp:lastModifiedBy>Артем Никифоров</cp:lastModifiedBy>
  <dcterms:modified xsi:type="dcterms:W3CDTF">2022-10-18T16:53:00Z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