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legreya Sans SC" w:cs="Alegreya Sans SC" w:eastAsia="Alegreya Sans SC" w:hAnsi="Alegreya Sans SC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Юлия Горбатова, 2023</w:t>
      </w:r>
    </w:p>
    <w:p w:rsidR="00000000" w:rsidDel="00000000" w:rsidP="00000000" w:rsidRDefault="00000000" w:rsidRPr="00000000" w14:paraId="00000002">
      <w:pPr>
        <w:rPr>
          <w:rFonts w:ascii="Alegreya Sans SC" w:cs="Alegreya Sans SC" w:eastAsia="Alegreya Sans SC" w:hAnsi="Alegreya Sans SC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Основы успешной коммуникации</w:t>
      </w:r>
    </w:p>
    <w:p w:rsidR="00000000" w:rsidDel="00000000" w:rsidP="00000000" w:rsidRDefault="00000000" w:rsidRPr="00000000" w14:paraId="00000003">
      <w:pPr>
        <w:rPr>
          <w:rFonts w:ascii="Alegreya Sans SC" w:cs="Alegreya Sans SC" w:eastAsia="Alegreya Sans SC" w:hAnsi="Alegreya Sans S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Alegreya Sans SC" w:cs="Alegreya Sans SC" w:eastAsia="Alegreya Sans SC" w:hAnsi="Alegreya Sans SC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Силлабус</w:t>
      </w:r>
    </w:p>
    <w:p w:rsidR="00000000" w:rsidDel="00000000" w:rsidP="00000000" w:rsidRDefault="00000000" w:rsidRPr="00000000" w14:paraId="00000005">
      <w:pPr>
        <w:spacing w:line="259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мы так или иначе ведем разговоры, вступаем с беседы. Иногда ссоримся, потом миримся. Удивляемся реакциям других людей, не понимаем, почему на нас обиделись и что надо исправить, чтобы нас слушали внимательней и понимали лучше. Как говорится, не мы первые, не мы последние. С подобными проблемами и задачами сталкивается практически каждый человек. К счастью, существуют отлаженные методики, как можно существенно улучшить собственные коммуникативные навыки. </w:t>
        <w:br w:type="textWrapping"/>
        <w:t xml:space="preserve">Попробуем вместе изучить и опробовать некоторые из них.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рассчитан на семестр (около 14 занятий).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 никаких пререквизитов.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Занятия будут проходить по субботам, с 19 до 21 по Москве/Киеву/Стамбулу</w:t>
        <w:br w:type="textWrapping"/>
      </w:r>
    </w:p>
    <w:p w:rsidR="00000000" w:rsidDel="00000000" w:rsidP="00000000" w:rsidRDefault="00000000" w:rsidRPr="00000000" w14:paraId="00000009">
      <w:pPr>
        <w:spacing w:line="259" w:lineRule="auto"/>
        <w:ind w:left="0" w:firstLine="0"/>
        <w:jc w:val="both"/>
        <w:rPr>
          <w:rFonts w:ascii="Alegreya Sans SC" w:cs="Alegreya Sans SC" w:eastAsia="Alegreya Sans SC" w:hAnsi="Alegreya Sans SC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Приблизительная программа курса:</w:t>
      </w:r>
    </w:p>
    <w:p w:rsidR="00000000" w:rsidDel="00000000" w:rsidP="00000000" w:rsidRDefault="00000000" w:rsidRPr="00000000" w14:paraId="0000000A">
      <w:pPr>
        <w:spacing w:line="259" w:lineRule="auto"/>
        <w:ind w:left="42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I. Предварительная подготовка к диалогу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1. Думающий и чувствующий мозг (М.Мэнсон)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Разные «типы» мозга: реакции сознательные и бессознательные. Методики построения правильного соотношения взаимодействия «типов» мозга.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2. Когнитивные искажения (Л. Млодинов)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Когнитивные искажения и их влияние на коммуникацию. Фундаментальная ошибка атрибуции, Inside-Outside bias.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3. Модель «Ядро-периферия» 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кооперативного диалога. Типы убеждений, их влияние на коммуникацию. Способы определения, как глубоко задето ядро убеждений и техники сохранения кооперативности.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4. Карты эмпатии 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Карты эмпатии: что это и для чего нужны. Построение карты эмпатии своей аудитории. Подготовка к коммуникации.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5. Базовые принципы кооперативности 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Презумпция кооперативности и Золотое правило аргументации.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II. Ведение диалога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1. Типы диалога (Д. Уолтон) 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Типы диалога: информирующий, делиберативный, убеждающий, переговорный и исследовательский типы диалога. Точка входа и цели диалога.  Общая цель диалога как основной признак кооперативности.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2. Типы слушателей </w:t>
      </w:r>
    </w:p>
    <w:p w:rsidR="00000000" w:rsidDel="00000000" w:rsidP="00000000" w:rsidRDefault="00000000" w:rsidRPr="00000000" w14:paraId="0000001B">
      <w:pPr>
        <w:spacing w:after="160" w:line="36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Оценивающий или сочувствующий слушатель. Зависимость коммуникации от типа слушателя.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3. Внеязыковые аспекты коммуникации (А. Меграбян и Дж. Борг)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Правило Меграбяна: 55/38/7. «Язык тела» по Дж.Боргу: кооперативное и некооперативное поведение.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4. «Мужские» и «женские» диалоги (Д. Таннен)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культурологические характеристики, влияющие на гендерное различие типов диалогов. Принципы ведения, цели и задачи «мужских» и «женских» диалогов.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5. Психологические стили диалога (Э. Берн) 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 роли Взрослый, Ребенок и Родитель и стили диалога, соответствующие им. Симметричные и несимметричные типы диалога. Способы возвращения диалогов к виду Взрослый-Взрослый.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6. Максимы кооперативного диалога (П. Грайс и Дж. Лич) 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Максимы Грайса (качества, количества, способа и отношения) как необходимое, но недостаточное условие для кооперативности диалога. Максимы Лича (такта, великодушия, согласия, одобрения, скромности, симпатии) как необходимое, но недостаточное условия для кооперативности диалога.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7. Трудные диалоги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Паттерсон К, Гренни Дж., Макмиллан Р., Свитцлер Э.)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Трудные диалоги vs неприятные разговоры. Общий фонд смысла. Полный путь к действию.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8. Типы и виды вопросов 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как важный навык активного слушания. Открытые и закрытые вопросы. Кооперативные и некооперативные способы ведения диалогов.</w:t>
      </w:r>
    </w:p>
    <w:p w:rsidR="00000000" w:rsidDel="00000000" w:rsidP="00000000" w:rsidRDefault="00000000" w:rsidRPr="00000000" w14:paraId="00000028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9. Обратная связь </w:t>
      </w:r>
    </w:p>
    <w:p w:rsidR="00000000" w:rsidDel="00000000" w:rsidP="00000000" w:rsidRDefault="00000000" w:rsidRPr="00000000" w14:paraId="00000029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Обратная связь как важный навык активного слушания. Принципы и техники обратной связи.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III. Ведение письменной коммуникации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1. Презентация результатов исследования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Цели и задачи презентации. Способы представления результатов. Основные принципы подачи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2. Переписка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Базовые принципы ведения переписки. Обязанности и права. Различие переписок, инициированных вами или другим человеком.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2115"/>
        </w:tabs>
        <w:spacing w:after="160" w:line="256" w:lineRule="auto"/>
        <w:ind w:right="849"/>
        <w:rPr>
          <w:rFonts w:ascii="Alegreya Sans SC" w:cs="Alegreya Sans SC" w:eastAsia="Alegreya Sans SC" w:hAnsi="Alegreya Sans SC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Основная литература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Берн Э.Л. Игры, в которые играют люди. Психология человеческих взаимоотношений— М.: Бомбора,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Борг Дж. Сила убеждения. Искусство оказывать влияние на людей. М.: Претекст, 2013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Млодинов Л. (НЕО)сознанное. Как бессознательный ум управляет нашим поведением. М.: Livebook,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Мэнсон М. Всё хреново. Книга о надежде. М.: Альпина Паблишер, 2020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Паттерсон К, Гренни Дж., Макмиллан Р., Свитцлер Э. Трудные диалоги: Что и как говорить, когда ставки высоки. М.: Манн, Иванов и Фербер, 2012</w:t>
      </w:r>
    </w:p>
    <w:p w:rsidR="00000000" w:rsidDel="00000000" w:rsidP="00000000" w:rsidRDefault="00000000" w:rsidRPr="00000000" w14:paraId="00000037">
      <w:pPr>
        <w:widowControl w:val="0"/>
        <w:tabs>
          <w:tab w:val="left" w:pos="2115"/>
        </w:tabs>
        <w:spacing w:after="160" w:line="256" w:lineRule="auto"/>
        <w:ind w:right="84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pos="2115"/>
        </w:tabs>
        <w:spacing w:after="160" w:line="256" w:lineRule="auto"/>
        <w:ind w:right="849"/>
        <w:rPr>
          <w:rFonts w:ascii="Alegreya Sans SC" w:cs="Alegreya Sans SC" w:eastAsia="Alegreya Sans SC" w:hAnsi="Alegreya Sans SC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Дополнительная литература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Беркли-Ален М. Забытое искусство слушать. СПб.: Питер Пресс, 1997.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Модлер П. Как разговаривать с теми, кто вас не слышит: Стратегии для случаев, когда аргументы бессильны. М.: Попурри, 2020.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Моносова 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«Да» в ответ. Технологии конструктивного влияния. — М.: Альпина Паблишер, 2012. — 285 с. 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Мэнсон М. Мужские правила. М.: Альпина Паблишер, 2019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09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Паттерсон К, Гренни Дж., Макмиллан Р., Свитцлер Э. Ключевые переговоры: Что и как говорить, когда ставки высоки. М.: Манн, Иванов и Фербер,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09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Роудз М. Как разговаривать с кем угодно. Уверенное общение в любой ситуации. М.: Манн, Иванов и Фербер, 2015Чалдини Р., Мартин С., Гольдштейн Н. Будь тем, кому всегда говорят ДА. Черная книга убеждения. М.: ЭКСМО,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09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Таннен Д. Ты меня не понимаешь. Почему мужчины и женщины не понимают друг друга. М. Вече*Персей*АСТ,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legreya Sans S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greyaSansSC-regular.ttf"/><Relationship Id="rId2" Type="http://schemas.openxmlformats.org/officeDocument/2006/relationships/font" Target="fonts/AlegreyaSansSC-bold.ttf"/><Relationship Id="rId3" Type="http://schemas.openxmlformats.org/officeDocument/2006/relationships/font" Target="fonts/AlegreyaSansSC-italic.ttf"/><Relationship Id="rId4" Type="http://schemas.openxmlformats.org/officeDocument/2006/relationships/font" Target="fonts/AlegreyaSansS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